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6C05" w:rsidRPr="00BE5E5A" w:rsidRDefault="00FD6C05" w:rsidP="00FD6C05">
      <w:pPr>
        <w:pStyle w:val="Header"/>
        <w:tabs>
          <w:tab w:val="right" w:pos="10440"/>
          <w:tab w:val="right" w:pos="13323"/>
        </w:tabs>
        <w:rPr>
          <w:rFonts w:eastAsia="SimSun" w:cs="Arial"/>
          <w:b/>
          <w:sz w:val="24"/>
          <w:szCs w:val="24"/>
          <w:lang w:eastAsia="zh-CN"/>
        </w:rPr>
      </w:pPr>
      <w:r w:rsidRPr="00F644CF">
        <w:rPr>
          <w:rFonts w:cs="Arial"/>
          <w:b/>
          <w:sz w:val="24"/>
          <w:szCs w:val="24"/>
        </w:rPr>
        <w:t>3GPP TSG-RAN WG4 Meeting #</w:t>
      </w:r>
      <w:r>
        <w:rPr>
          <w:rFonts w:eastAsia="SimSun" w:cs="Arial"/>
          <w:b/>
          <w:sz w:val="24"/>
          <w:szCs w:val="24"/>
          <w:lang w:eastAsia="zh-CN"/>
        </w:rPr>
        <w:t>9</w:t>
      </w:r>
      <w:r>
        <w:rPr>
          <w:rFonts w:eastAsia="SimSun" w:cs="Arial" w:hint="eastAsia"/>
          <w:b/>
          <w:sz w:val="24"/>
          <w:szCs w:val="24"/>
          <w:lang w:eastAsia="zh-CN"/>
        </w:rPr>
        <w:t>1</w:t>
      </w:r>
      <w:r w:rsidRPr="00F644CF">
        <w:rPr>
          <w:rFonts w:cs="Arial"/>
          <w:b/>
          <w:sz w:val="24"/>
          <w:szCs w:val="24"/>
        </w:rPr>
        <w:tab/>
      </w:r>
      <w:r>
        <w:rPr>
          <w:rFonts w:cs="Arial"/>
          <w:b/>
          <w:sz w:val="24"/>
          <w:szCs w:val="24"/>
        </w:rPr>
        <w:tab/>
        <w:t xml:space="preserve">     </w:t>
      </w:r>
      <w:r w:rsidRPr="003A45FB">
        <w:rPr>
          <w:rFonts w:cs="Arial"/>
          <w:b/>
          <w:sz w:val="24"/>
          <w:szCs w:val="24"/>
        </w:rPr>
        <w:t>R4-19</w:t>
      </w:r>
      <w:bookmarkStart w:id="0" w:name="_GoBack"/>
      <w:bookmarkEnd w:id="0"/>
      <w:r w:rsidR="00EC5ADC">
        <w:rPr>
          <w:rFonts w:eastAsia="SimSun" w:cs="Arial"/>
          <w:b/>
          <w:sz w:val="24"/>
          <w:szCs w:val="24"/>
          <w:lang w:eastAsia="zh-CN"/>
        </w:rPr>
        <w:t>06021</w:t>
      </w:r>
    </w:p>
    <w:p w:rsidR="00FD6C05" w:rsidRPr="00F644CF" w:rsidRDefault="00FD6C05" w:rsidP="00FD6C05">
      <w:pPr>
        <w:pStyle w:val="Header"/>
        <w:tabs>
          <w:tab w:val="right" w:pos="9781"/>
          <w:tab w:val="right" w:pos="13323"/>
        </w:tabs>
        <w:outlineLvl w:val="0"/>
        <w:rPr>
          <w:rFonts w:eastAsia="SimSun"/>
          <w:b/>
          <w:sz w:val="24"/>
          <w:szCs w:val="24"/>
          <w:lang w:eastAsia="zh-CN"/>
        </w:rPr>
      </w:pPr>
      <w:r>
        <w:rPr>
          <w:rFonts w:eastAsia="SimSun" w:hint="eastAsia"/>
          <w:b/>
          <w:sz w:val="24"/>
          <w:szCs w:val="24"/>
          <w:lang w:eastAsia="zh-CN"/>
        </w:rPr>
        <w:t>Reno</w:t>
      </w:r>
      <w:r w:rsidRPr="00F644CF">
        <w:rPr>
          <w:rFonts w:eastAsia="SimSun" w:hint="eastAsia"/>
          <w:b/>
          <w:sz w:val="24"/>
          <w:szCs w:val="24"/>
          <w:lang w:eastAsia="zh-CN"/>
        </w:rPr>
        <w:t xml:space="preserve">, </w:t>
      </w:r>
      <w:r>
        <w:rPr>
          <w:rFonts w:eastAsia="SimSun" w:hint="eastAsia"/>
          <w:b/>
          <w:sz w:val="24"/>
          <w:szCs w:val="24"/>
          <w:lang w:eastAsia="zh-CN"/>
        </w:rPr>
        <w:t>US</w:t>
      </w:r>
      <w:r w:rsidRPr="00F644CF">
        <w:rPr>
          <w:rFonts w:eastAsia="SimSun"/>
          <w:b/>
          <w:sz w:val="24"/>
          <w:szCs w:val="24"/>
          <w:lang w:eastAsia="zh-CN"/>
        </w:rPr>
        <w:t xml:space="preserve">, </w:t>
      </w:r>
      <w:r>
        <w:rPr>
          <w:rFonts w:eastAsia="SimSun" w:hint="eastAsia"/>
          <w:b/>
          <w:sz w:val="24"/>
          <w:szCs w:val="24"/>
          <w:lang w:eastAsia="zh-CN"/>
        </w:rPr>
        <w:t>13</w:t>
      </w:r>
      <w:r w:rsidRPr="00BA18E1">
        <w:rPr>
          <w:rFonts w:eastAsia="SimSun"/>
          <w:b/>
          <w:sz w:val="24"/>
          <w:szCs w:val="24"/>
          <w:vertAlign w:val="superscript"/>
          <w:lang w:eastAsia="zh-CN"/>
        </w:rPr>
        <w:t>th</w:t>
      </w:r>
      <w:r>
        <w:rPr>
          <w:rFonts w:eastAsia="SimSun"/>
          <w:b/>
          <w:sz w:val="24"/>
          <w:szCs w:val="24"/>
          <w:lang w:eastAsia="zh-CN"/>
        </w:rPr>
        <w:t>–</w:t>
      </w:r>
      <w:r w:rsidRPr="00F644CF">
        <w:rPr>
          <w:rFonts w:eastAsia="SimSun" w:hint="eastAsia"/>
          <w:b/>
          <w:sz w:val="24"/>
          <w:szCs w:val="24"/>
          <w:lang w:eastAsia="zh-CN"/>
        </w:rPr>
        <w:t xml:space="preserve"> </w:t>
      </w:r>
      <w:r>
        <w:rPr>
          <w:rFonts w:eastAsia="SimSun"/>
          <w:b/>
          <w:sz w:val="24"/>
          <w:szCs w:val="24"/>
          <w:lang w:eastAsia="zh-CN"/>
        </w:rPr>
        <w:t>1</w:t>
      </w:r>
      <w:r>
        <w:rPr>
          <w:rFonts w:eastAsia="SimSun" w:hint="eastAsia"/>
          <w:b/>
          <w:sz w:val="24"/>
          <w:szCs w:val="24"/>
          <w:lang w:eastAsia="zh-CN"/>
        </w:rPr>
        <w:t>7</w:t>
      </w:r>
      <w:r>
        <w:rPr>
          <w:rFonts w:eastAsia="SimSun"/>
          <w:b/>
          <w:sz w:val="24"/>
          <w:szCs w:val="24"/>
          <w:vertAlign w:val="superscript"/>
          <w:lang w:eastAsia="zh-CN"/>
        </w:rPr>
        <w:t>th</w:t>
      </w:r>
      <w:r>
        <w:rPr>
          <w:rFonts w:eastAsia="SimSun"/>
          <w:b/>
          <w:sz w:val="24"/>
          <w:szCs w:val="24"/>
          <w:lang w:eastAsia="zh-CN"/>
        </w:rPr>
        <w:t xml:space="preserve"> </w:t>
      </w:r>
      <w:proofErr w:type="gramStart"/>
      <w:r>
        <w:rPr>
          <w:rFonts w:eastAsia="SimSun" w:hint="eastAsia"/>
          <w:b/>
          <w:sz w:val="24"/>
          <w:szCs w:val="24"/>
          <w:lang w:eastAsia="zh-CN"/>
        </w:rPr>
        <w:t>May</w:t>
      </w:r>
      <w:r w:rsidRPr="00F644CF">
        <w:rPr>
          <w:rFonts w:eastAsia="SimSun"/>
          <w:b/>
          <w:sz w:val="24"/>
          <w:szCs w:val="24"/>
          <w:lang w:eastAsia="zh-CN"/>
        </w:rPr>
        <w:t>,</w:t>
      </w:r>
      <w:proofErr w:type="gramEnd"/>
      <w:r w:rsidRPr="00F644CF">
        <w:rPr>
          <w:rFonts w:eastAsia="SimSun"/>
          <w:b/>
          <w:sz w:val="24"/>
          <w:szCs w:val="24"/>
          <w:lang w:eastAsia="zh-CN"/>
        </w:rPr>
        <w:t xml:space="preserve"> 201</w:t>
      </w:r>
      <w:r>
        <w:rPr>
          <w:rFonts w:eastAsia="SimSun"/>
          <w:b/>
          <w:sz w:val="24"/>
          <w:szCs w:val="24"/>
          <w:lang w:eastAsia="zh-CN"/>
        </w:rPr>
        <w:t>9</w:t>
      </w:r>
    </w:p>
    <w:p w:rsidR="0015319D" w:rsidRDefault="0015319D" w:rsidP="002D479B">
      <w:pPr>
        <w:ind w:left="1800" w:hanging="1800"/>
        <w:rPr>
          <w:b/>
          <w:sz w:val="24"/>
          <w:szCs w:val="24"/>
        </w:rPr>
      </w:pPr>
    </w:p>
    <w:p w:rsidR="0060603E" w:rsidRPr="00212204" w:rsidRDefault="0060603E" w:rsidP="002D479B">
      <w:pPr>
        <w:ind w:left="1800" w:hanging="1800"/>
        <w:rPr>
          <w:b/>
          <w:sz w:val="24"/>
          <w:szCs w:val="24"/>
        </w:rPr>
      </w:pPr>
      <w:r w:rsidRPr="00212204">
        <w:rPr>
          <w:b/>
          <w:sz w:val="24"/>
          <w:szCs w:val="24"/>
        </w:rPr>
        <w:t>Agenda Item:</w:t>
      </w:r>
      <w:bookmarkStart w:id="1" w:name="Source"/>
      <w:bookmarkEnd w:id="1"/>
      <w:r w:rsidR="00E67F4E" w:rsidRPr="0015319D">
        <w:rPr>
          <w:b/>
          <w:sz w:val="24"/>
          <w:szCs w:val="24"/>
        </w:rPr>
        <w:t xml:space="preserve">   </w:t>
      </w:r>
      <w:r w:rsidR="00FD6C05">
        <w:rPr>
          <w:b/>
          <w:sz w:val="24"/>
          <w:szCs w:val="24"/>
        </w:rPr>
        <w:t>8.5.</w:t>
      </w:r>
      <w:r w:rsidR="004A5297">
        <w:rPr>
          <w:b/>
          <w:sz w:val="24"/>
          <w:szCs w:val="24"/>
        </w:rPr>
        <w:t>3</w:t>
      </w:r>
    </w:p>
    <w:p w:rsidR="00CE0C9D" w:rsidRPr="0015319D" w:rsidRDefault="00E67F4E" w:rsidP="002D479B">
      <w:pPr>
        <w:ind w:left="1800" w:hanging="1800"/>
        <w:rPr>
          <w:b/>
          <w:sz w:val="24"/>
          <w:szCs w:val="24"/>
        </w:rPr>
      </w:pPr>
      <w:r>
        <w:rPr>
          <w:b/>
          <w:sz w:val="24"/>
          <w:szCs w:val="24"/>
        </w:rPr>
        <w:t xml:space="preserve">Source:            </w:t>
      </w:r>
      <w:r w:rsidR="00AB7FC6" w:rsidRPr="00212204">
        <w:rPr>
          <w:b/>
          <w:sz w:val="24"/>
          <w:szCs w:val="24"/>
        </w:rPr>
        <w:t>AT&amp;T</w:t>
      </w:r>
    </w:p>
    <w:p w:rsidR="00812560" w:rsidRDefault="0060603E" w:rsidP="0015319D">
      <w:pPr>
        <w:ind w:left="1800" w:hanging="1800"/>
        <w:rPr>
          <w:b/>
          <w:sz w:val="24"/>
          <w:szCs w:val="24"/>
        </w:rPr>
      </w:pPr>
      <w:r w:rsidRPr="00212204">
        <w:rPr>
          <w:b/>
          <w:sz w:val="24"/>
          <w:szCs w:val="24"/>
        </w:rPr>
        <w:t>Title:</w:t>
      </w:r>
      <w:r w:rsidR="0015319D">
        <w:rPr>
          <w:b/>
          <w:sz w:val="24"/>
          <w:szCs w:val="24"/>
        </w:rPr>
        <w:t xml:space="preserve">                 </w:t>
      </w:r>
      <w:r w:rsidR="004A5297">
        <w:rPr>
          <w:b/>
          <w:sz w:val="24"/>
          <w:szCs w:val="24"/>
        </w:rPr>
        <w:t>IAB RF requirements</w:t>
      </w:r>
    </w:p>
    <w:p w:rsidR="002D479B" w:rsidRPr="00812560" w:rsidRDefault="0060603E" w:rsidP="0015319D">
      <w:pPr>
        <w:ind w:left="1800" w:hanging="1800"/>
        <w:rPr>
          <w:b/>
          <w:sz w:val="24"/>
          <w:szCs w:val="24"/>
        </w:rPr>
      </w:pPr>
      <w:r w:rsidRPr="00212204">
        <w:rPr>
          <w:b/>
          <w:sz w:val="24"/>
          <w:szCs w:val="24"/>
        </w:rPr>
        <w:t>Document for</w:t>
      </w:r>
      <w:bookmarkStart w:id="2" w:name="DocumentFor"/>
      <w:bookmarkEnd w:id="2"/>
      <w:r w:rsidR="00E67F4E">
        <w:rPr>
          <w:b/>
          <w:sz w:val="24"/>
          <w:szCs w:val="24"/>
        </w:rPr>
        <w:t xml:space="preserve">: </w:t>
      </w:r>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Pr="00172743" w:rsidRDefault="00424124" w:rsidP="00326FF6">
      <w:pPr>
        <w:pStyle w:val="Heading1"/>
      </w:pPr>
      <w:r w:rsidRPr="00172743">
        <w:t>Introduction</w:t>
      </w:r>
    </w:p>
    <w:p w:rsidR="002122D0" w:rsidRPr="00233D70" w:rsidRDefault="002122D0" w:rsidP="002122D0">
      <w:pPr>
        <w:pStyle w:val="maintext"/>
        <w:ind w:firstLine="400"/>
        <w:rPr>
          <w:rFonts w:ascii="Calibri" w:hAnsi="Calibri"/>
        </w:rPr>
      </w:pPr>
      <w:bookmarkStart w:id="3" w:name="_Hlk7433984"/>
      <w:r w:rsidRPr="004131D6">
        <w:rPr>
          <w:rFonts w:ascii="Calibri" w:hAnsi="Calibri"/>
        </w:rPr>
        <w:t>As part of the Work Item on Integrated Access and Backhaul for NR [1], 3GPP has agreed to support solutions for efficient operation of integrated access and wireless backhaul for NR</w:t>
      </w:r>
      <w:r>
        <w:rPr>
          <w:rFonts w:ascii="Calibri" w:hAnsi="Calibri"/>
        </w:rPr>
        <w:t>.</w:t>
      </w:r>
      <w:r w:rsidRPr="004131D6">
        <w:rPr>
          <w:rFonts w:ascii="Calibri" w:hAnsi="Calibri"/>
        </w:rPr>
        <w:t xml:space="preserve"> </w:t>
      </w:r>
      <w:r w:rsidRPr="00233D70">
        <w:rPr>
          <w:rFonts w:ascii="Calibri" w:hAnsi="Calibri"/>
        </w:rPr>
        <w:t>This d</w:t>
      </w:r>
      <w:r>
        <w:rPr>
          <w:rFonts w:ascii="Calibri" w:hAnsi="Calibri"/>
        </w:rPr>
        <w:t>ocument provides an overview of the key RF requirements for IAB nodes.</w:t>
      </w:r>
    </w:p>
    <w:bookmarkEnd w:id="3"/>
    <w:p w:rsidR="00346605" w:rsidRPr="00172743" w:rsidRDefault="00031603" w:rsidP="00326FF6">
      <w:pPr>
        <w:pStyle w:val="Heading1"/>
      </w:pPr>
      <w:r>
        <w:t>IAB RF Requirements</w:t>
      </w:r>
    </w:p>
    <w:p w:rsidR="007E20F9" w:rsidRDefault="007E20F9" w:rsidP="007E20F9">
      <w:pPr>
        <w:pStyle w:val="maintext"/>
        <w:ind w:firstLineChars="0" w:firstLine="0"/>
        <w:rPr>
          <w:rFonts w:ascii="Calibri" w:hAnsi="Calibri"/>
        </w:rPr>
      </w:pPr>
      <w:r>
        <w:rPr>
          <w:rFonts w:ascii="Calibri" w:hAnsi="Calibri"/>
        </w:rPr>
        <w:t>An example of a network with integrated access and backhaul links is shown in Figure 1 below. The operation of the different links may be on the same or different frequencies (also termed ‘in-band’ and ‘out-band’ relays). Each IAB node has both DU functionality (IAB-DU) as well as UE-like functionality (IAB-MT). The relay is connected to an IAB node of a higher hop order in a similar way as a UE, while the IAB node serves relay UEs inside IAB nodes of lower hop orders or its own access UEs.</w:t>
      </w:r>
    </w:p>
    <w:p w:rsidR="007E20F9" w:rsidRDefault="007E20F9" w:rsidP="007E20F9">
      <w:pPr>
        <w:pStyle w:val="maintext"/>
        <w:ind w:firstLineChars="0" w:firstLine="0"/>
        <w:rPr>
          <w:rFonts w:ascii="Calibri" w:hAnsi="Calibri"/>
        </w:rPr>
      </w:pPr>
    </w:p>
    <w:p w:rsidR="007E20F9" w:rsidRDefault="00EC5ADC" w:rsidP="007E20F9">
      <w:pPr>
        <w:spacing w:after="60" w:line="288" w:lineRule="auto"/>
        <w:jc w:val="center"/>
        <w:rPr>
          <w:rFonts w:eastAsia="Malgun Gothic" w:cs="Batang"/>
          <w:b/>
          <w:lang w:val="en-GB" w:eastAsia="ko-KR"/>
        </w:rPr>
      </w:pPr>
      <w:r>
        <w:rPr>
          <w:rFonts w:eastAsia="Malgun Gothic" w:cs="Batang"/>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64.5pt;height:135pt;visibility:visible;mso-wrap-style:square">
            <v:imagedata r:id="rId8" o:title=""/>
          </v:shape>
        </w:pict>
      </w:r>
    </w:p>
    <w:p w:rsidR="007E20F9" w:rsidRDefault="007E20F9" w:rsidP="007E20F9">
      <w:pPr>
        <w:spacing w:after="240" w:line="360" w:lineRule="auto"/>
        <w:ind w:left="720"/>
        <w:jc w:val="center"/>
        <w:rPr>
          <w:rFonts w:ascii="Calibri" w:hAnsi="Calibri"/>
          <w:b/>
          <w:bCs/>
          <w:sz w:val="22"/>
          <w:lang w:val="en-GB" w:eastAsia="zh-CN"/>
        </w:rPr>
      </w:pPr>
      <w:r>
        <w:rPr>
          <w:rFonts w:ascii="Calibri" w:hAnsi="Calibri"/>
          <w:b/>
          <w:bCs/>
          <w:sz w:val="22"/>
          <w:lang w:val="en-GB" w:eastAsia="zh-CN"/>
        </w:rPr>
        <w:t xml:space="preserve">Figure 1: Integrated access and backhaul links </w:t>
      </w:r>
    </w:p>
    <w:p w:rsidR="007E20F9" w:rsidRDefault="007E20F9" w:rsidP="007E20F9">
      <w:pPr>
        <w:pStyle w:val="maintext"/>
        <w:ind w:firstLineChars="0" w:firstLine="0"/>
        <w:rPr>
          <w:rFonts w:ascii="Calibri" w:hAnsi="Calibri"/>
        </w:rPr>
      </w:pPr>
      <w:r>
        <w:rPr>
          <w:rFonts w:ascii="Calibri" w:hAnsi="Calibri"/>
        </w:rPr>
        <w:t>In addition, for in-band operation IAB nodes are assumed to operate with a half-duplex constraint as shown in Figure 2, which means they can only do the following at any given time:</w:t>
      </w:r>
    </w:p>
    <w:p w:rsidR="007E20F9" w:rsidRDefault="007E20F9" w:rsidP="007E20F9">
      <w:pPr>
        <w:pStyle w:val="maintext"/>
        <w:numPr>
          <w:ilvl w:val="0"/>
          <w:numId w:val="10"/>
        </w:numPr>
        <w:ind w:firstLineChars="0"/>
        <w:rPr>
          <w:rFonts w:ascii="Calibri" w:hAnsi="Calibri"/>
        </w:rPr>
      </w:pPr>
      <w:r>
        <w:rPr>
          <w:rFonts w:ascii="Calibri" w:hAnsi="Calibri"/>
        </w:rPr>
        <w:t xml:space="preserve">Receive on the access link (UE to IAB node) and/or backhaul link (IAB node to IAB node) </w:t>
      </w:r>
    </w:p>
    <w:p w:rsidR="007E20F9" w:rsidRDefault="007E20F9" w:rsidP="007E20F9">
      <w:pPr>
        <w:pStyle w:val="maintext"/>
        <w:numPr>
          <w:ilvl w:val="0"/>
          <w:numId w:val="10"/>
        </w:numPr>
        <w:ind w:firstLineChars="0"/>
        <w:rPr>
          <w:rFonts w:ascii="Calibri" w:hAnsi="Calibri"/>
        </w:rPr>
      </w:pPr>
      <w:r>
        <w:rPr>
          <w:rFonts w:ascii="Calibri" w:hAnsi="Calibri"/>
        </w:rPr>
        <w:t xml:space="preserve">Transmit on the access link and/or backhaul link </w:t>
      </w:r>
    </w:p>
    <w:p w:rsidR="007E20F9" w:rsidRDefault="007E20F9" w:rsidP="007E20F9">
      <w:pPr>
        <w:pStyle w:val="maintext"/>
        <w:ind w:firstLineChars="0" w:firstLine="0"/>
        <w:rPr>
          <w:rFonts w:ascii="Calibri" w:hAnsi="Calibri"/>
        </w:rPr>
      </w:pPr>
    </w:p>
    <w:p w:rsidR="007E20F9" w:rsidRDefault="007E20F9" w:rsidP="007E20F9">
      <w:pPr>
        <w:pStyle w:val="maintext"/>
        <w:keepNext/>
        <w:ind w:firstLineChars="0" w:firstLine="0"/>
        <w:jc w:val="center"/>
      </w:pPr>
      <w:r>
        <w:rPr>
          <w:noProof/>
          <w:color w:val="1F497D"/>
          <w:lang w:val="en-US" w:eastAsia="en-US"/>
        </w:rPr>
        <w:lastRenderedPageBreak/>
        <w:fldChar w:fldCharType="begin"/>
      </w:r>
      <w:r>
        <w:rPr>
          <w:noProof/>
          <w:color w:val="1F497D"/>
          <w:lang w:val="en-US" w:eastAsia="en-US"/>
        </w:rPr>
        <w:instrText xml:space="preserve"> INCLUDEPICTURE  "cid:image005.png@01D3944D.5F473090" \* MERGEFORMATINET </w:instrText>
      </w:r>
      <w:r>
        <w:rPr>
          <w:noProof/>
          <w:color w:val="1F497D"/>
          <w:lang w:val="en-US" w:eastAsia="en-US"/>
        </w:rPr>
        <w:fldChar w:fldCharType="separate"/>
      </w:r>
      <w:r w:rsidR="0096326D">
        <w:rPr>
          <w:noProof/>
          <w:color w:val="1F497D"/>
          <w:lang w:val="en-US" w:eastAsia="en-US"/>
        </w:rPr>
        <w:fldChar w:fldCharType="begin"/>
      </w:r>
      <w:r w:rsidR="0096326D">
        <w:rPr>
          <w:noProof/>
          <w:color w:val="1F497D"/>
          <w:lang w:val="en-US" w:eastAsia="en-US"/>
        </w:rPr>
        <w:instrText xml:space="preserve"> INCLUDEPICTURE  "cid:image005.png@01D3944D.5F473090" \* MERGEFORMATINET </w:instrText>
      </w:r>
      <w:r w:rsidR="0096326D">
        <w:rPr>
          <w:noProof/>
          <w:color w:val="1F497D"/>
          <w:lang w:val="en-US" w:eastAsia="en-US"/>
        </w:rPr>
        <w:fldChar w:fldCharType="separate"/>
      </w:r>
      <w:r w:rsidR="00800B82">
        <w:rPr>
          <w:noProof/>
          <w:color w:val="1F497D"/>
          <w:lang w:val="en-US" w:eastAsia="en-US"/>
        </w:rPr>
        <w:fldChar w:fldCharType="begin"/>
      </w:r>
      <w:r w:rsidR="00800B82">
        <w:rPr>
          <w:noProof/>
          <w:color w:val="1F497D"/>
          <w:lang w:val="en-US" w:eastAsia="en-US"/>
        </w:rPr>
        <w:instrText xml:space="preserve"> </w:instrText>
      </w:r>
      <w:r w:rsidR="00800B82">
        <w:rPr>
          <w:noProof/>
          <w:color w:val="1F497D"/>
          <w:lang w:val="en-US" w:eastAsia="en-US"/>
        </w:rPr>
        <w:instrText>INCLUDEPICTURE  "cid:image005.png@01D3944D.5F473090" \* MERGEFORMATINET</w:instrText>
      </w:r>
      <w:r w:rsidR="00800B82">
        <w:rPr>
          <w:noProof/>
          <w:color w:val="1F497D"/>
          <w:lang w:val="en-US" w:eastAsia="en-US"/>
        </w:rPr>
        <w:instrText xml:space="preserve"> </w:instrText>
      </w:r>
      <w:r w:rsidR="00800B82">
        <w:rPr>
          <w:noProof/>
          <w:color w:val="1F497D"/>
          <w:lang w:val="en-US" w:eastAsia="en-US"/>
        </w:rPr>
        <w:fldChar w:fldCharType="separate"/>
      </w:r>
      <w:r w:rsidR="00800B82">
        <w:rPr>
          <w:noProof/>
          <w:color w:val="1F497D"/>
          <w:lang w:val="en-US" w:eastAsia="en-US"/>
        </w:rPr>
        <w:pict>
          <v:shape id="_x0000_i1026" type="#_x0000_t75" style="width:371.25pt;height:249.75pt;visibility:visible">
            <v:imagedata r:id="rId9" r:href="rId10"/>
          </v:shape>
        </w:pict>
      </w:r>
      <w:r w:rsidR="00800B82">
        <w:rPr>
          <w:noProof/>
          <w:color w:val="1F497D"/>
          <w:lang w:val="en-US" w:eastAsia="en-US"/>
        </w:rPr>
        <w:fldChar w:fldCharType="end"/>
      </w:r>
      <w:r w:rsidR="0096326D">
        <w:rPr>
          <w:noProof/>
          <w:color w:val="1F497D"/>
          <w:lang w:val="en-US" w:eastAsia="en-US"/>
        </w:rPr>
        <w:fldChar w:fldCharType="end"/>
      </w:r>
      <w:r>
        <w:rPr>
          <w:noProof/>
          <w:color w:val="1F497D"/>
          <w:lang w:val="en-US" w:eastAsia="en-US"/>
        </w:rPr>
        <w:fldChar w:fldCharType="end"/>
      </w:r>
    </w:p>
    <w:p w:rsidR="007E20F9" w:rsidRDefault="007E20F9" w:rsidP="007E20F9">
      <w:pPr>
        <w:pStyle w:val="maintext"/>
        <w:ind w:firstLineChars="0" w:firstLine="0"/>
        <w:jc w:val="center"/>
        <w:rPr>
          <w:rFonts w:ascii="Calibri" w:hAnsi="Calibri"/>
          <w:b/>
        </w:rPr>
      </w:pPr>
    </w:p>
    <w:p w:rsidR="007E20F9" w:rsidRDefault="007E20F9" w:rsidP="007E20F9">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Figure 2: Half-duplex constraint at the relay</w:t>
      </w:r>
    </w:p>
    <w:p w:rsidR="007E20F9" w:rsidRDefault="007E20F9" w:rsidP="007E20F9">
      <w:pPr>
        <w:pStyle w:val="maintext"/>
        <w:ind w:firstLineChars="0" w:firstLine="0"/>
        <w:rPr>
          <w:rFonts w:ascii="Calibri" w:hAnsi="Calibri"/>
        </w:rPr>
      </w:pPr>
      <w:r>
        <w:rPr>
          <w:rFonts w:ascii="Calibri" w:hAnsi="Calibri"/>
        </w:rPr>
        <w:t xml:space="preserve">The remaining sections of this document focus on RF requirements for IAB nodes to enable efficient </w:t>
      </w:r>
      <w:r w:rsidR="003B2E8D">
        <w:rPr>
          <w:rFonts w:ascii="Calibri" w:hAnsi="Calibri"/>
        </w:rPr>
        <w:t xml:space="preserve">operation </w:t>
      </w:r>
      <w:r>
        <w:rPr>
          <w:rFonts w:ascii="Calibri" w:hAnsi="Calibri"/>
        </w:rPr>
        <w:t>of backhaul and access links operating on the same or adjacent frequencies.</w:t>
      </w:r>
    </w:p>
    <w:p w:rsidR="001A48EC" w:rsidRDefault="001A48EC" w:rsidP="0051424F">
      <w:pPr>
        <w:spacing w:after="0"/>
        <w:ind w:firstLine="576"/>
        <w:rPr>
          <w:rFonts w:ascii="Calibri" w:hAnsi="Calibri"/>
          <w:lang w:eastAsia="ko-KR"/>
        </w:rPr>
      </w:pPr>
    </w:p>
    <w:p w:rsidR="001A48EC" w:rsidRPr="00172743" w:rsidRDefault="00031603" w:rsidP="001A48EC">
      <w:pPr>
        <w:pStyle w:val="Heading2"/>
        <w:ind w:left="540"/>
      </w:pPr>
      <w:r>
        <w:t>IAB node DU/MT HW Sharing</w:t>
      </w:r>
    </w:p>
    <w:p w:rsidR="002B7479" w:rsidRPr="00676BB8" w:rsidRDefault="00676BB8" w:rsidP="006F253E">
      <w:pPr>
        <w:pStyle w:val="maintext"/>
        <w:ind w:firstLineChars="0" w:firstLine="0"/>
        <w:rPr>
          <w:rFonts w:ascii="Calibri" w:hAnsi="Calibri"/>
        </w:rPr>
      </w:pPr>
      <w:r>
        <w:rPr>
          <w:rFonts w:ascii="Calibri" w:hAnsi="Calibri"/>
        </w:rPr>
        <w:t xml:space="preserve">As key aspect of IAB is that the access and backhaul links are tightly integrated, enabling dynamic multiplexing of the traffic which can be responsive to load, interference, or other considerations. Not only may this correspond to tight integration of the access and backhaul protocol stacks, but also hardware sharing between the IAB node DU and MT functions. For example, in Figure 1, IAB node C has separate panels for backhaul and access links, with the orientation optimized for serving the different types of traffic. However, in the same figure, IAB nodes A and B </w:t>
      </w:r>
      <w:proofErr w:type="gramStart"/>
      <w:r>
        <w:rPr>
          <w:rFonts w:ascii="Calibri" w:hAnsi="Calibri"/>
        </w:rPr>
        <w:t>have the ability to</w:t>
      </w:r>
      <w:proofErr w:type="gramEnd"/>
      <w:r>
        <w:rPr>
          <w:rFonts w:ascii="Calibri" w:hAnsi="Calibri"/>
        </w:rPr>
        <w:t xml:space="preserve"> operate both access and backhaul links on the same antenna panel (of course in Rel-16 this operation is restricted by half-duplex and TDM constraints). </w:t>
      </w:r>
    </w:p>
    <w:p w:rsidR="002B7479" w:rsidRPr="00676BB8" w:rsidRDefault="00676BB8" w:rsidP="006F253E">
      <w:pPr>
        <w:pStyle w:val="maintext"/>
        <w:ind w:firstLineChars="0" w:firstLine="0"/>
        <w:rPr>
          <w:rFonts w:ascii="Calibri" w:hAnsi="Calibri"/>
        </w:rPr>
      </w:pPr>
      <w:r>
        <w:rPr>
          <w:rFonts w:ascii="Calibri" w:hAnsi="Calibri"/>
        </w:rPr>
        <w:t xml:space="preserve">Since the usage of a single or separate antenna panel and associated transceiver chains largely depends on deployment and implementation considerations, RAN4 specifications should not mandate one </w:t>
      </w:r>
      <w:proofErr w:type="gramStart"/>
      <w:r>
        <w:rPr>
          <w:rFonts w:ascii="Calibri" w:hAnsi="Calibri"/>
        </w:rPr>
        <w:t>particular option</w:t>
      </w:r>
      <w:proofErr w:type="gramEnd"/>
      <w:r>
        <w:rPr>
          <w:rFonts w:ascii="Calibri" w:hAnsi="Calibri"/>
        </w:rPr>
        <w:t xml:space="preserve"> and consider both options when determining RF requirements for an IAB node. How this is exactly captured in the specifications</w:t>
      </w:r>
      <w:r w:rsidR="00FC3FE6">
        <w:rPr>
          <w:rFonts w:ascii="Calibri" w:hAnsi="Calibri"/>
        </w:rPr>
        <w:t xml:space="preserve"> can be further considered once (if any) specific requirements are identified pertaining to either separate or common IAB-node DU/MT hardware.</w:t>
      </w:r>
    </w:p>
    <w:p w:rsidR="00B73A69" w:rsidRDefault="00EE48A6" w:rsidP="006F253E">
      <w:pPr>
        <w:pStyle w:val="maintext"/>
        <w:ind w:firstLineChars="0" w:firstLine="0"/>
        <w:rPr>
          <w:rFonts w:ascii="Calibri" w:hAnsi="Calibri"/>
          <w:b/>
        </w:rPr>
      </w:pPr>
      <w:r>
        <w:rPr>
          <w:rFonts w:ascii="Calibri" w:hAnsi="Calibri"/>
          <w:b/>
        </w:rPr>
        <w:t xml:space="preserve">Proposal </w:t>
      </w:r>
      <w:r w:rsidR="00EA0940">
        <w:rPr>
          <w:rFonts w:ascii="Calibri" w:hAnsi="Calibri"/>
          <w:b/>
        </w:rPr>
        <w:t>1</w:t>
      </w:r>
      <w:r>
        <w:rPr>
          <w:rFonts w:ascii="Calibri" w:hAnsi="Calibri"/>
          <w:b/>
        </w:rPr>
        <w:t xml:space="preserve">: </w:t>
      </w:r>
      <w:r w:rsidR="00C8702A">
        <w:rPr>
          <w:rFonts w:ascii="Calibri" w:hAnsi="Calibri"/>
          <w:b/>
        </w:rPr>
        <w:t>IAB node RF requirements should consider both common</w:t>
      </w:r>
      <w:r w:rsidR="00031603">
        <w:rPr>
          <w:rFonts w:ascii="Calibri" w:hAnsi="Calibri"/>
          <w:b/>
        </w:rPr>
        <w:t xml:space="preserve"> HW (e.g. common antenna panel for IAB node DU(s)/MT(s)) and separate HW (e.g. physically separated antenna panels for DU(s)/MT(s)) </w:t>
      </w:r>
      <w:r w:rsidR="00C8702A">
        <w:rPr>
          <w:rFonts w:ascii="Calibri" w:hAnsi="Calibri"/>
          <w:b/>
        </w:rPr>
        <w:t>cases.</w:t>
      </w:r>
    </w:p>
    <w:p w:rsidR="000337FD" w:rsidRDefault="000337FD" w:rsidP="006F253E">
      <w:pPr>
        <w:pStyle w:val="maintext"/>
        <w:ind w:firstLineChars="0" w:firstLine="0"/>
        <w:rPr>
          <w:rFonts w:ascii="Calibri" w:hAnsi="Calibri"/>
          <w:b/>
        </w:rPr>
      </w:pPr>
    </w:p>
    <w:p w:rsidR="00FC3FE6" w:rsidRDefault="00FC3FE6" w:rsidP="006F253E">
      <w:pPr>
        <w:pStyle w:val="maintext"/>
        <w:ind w:firstLineChars="0" w:firstLine="0"/>
        <w:rPr>
          <w:rFonts w:ascii="Calibri" w:hAnsi="Calibri"/>
          <w:b/>
        </w:rPr>
      </w:pPr>
    </w:p>
    <w:p w:rsidR="00FC3FE6" w:rsidRDefault="00FC3FE6" w:rsidP="006F253E">
      <w:pPr>
        <w:pStyle w:val="maintext"/>
        <w:ind w:firstLineChars="0" w:firstLine="0"/>
        <w:rPr>
          <w:rFonts w:ascii="Calibri" w:hAnsi="Calibri"/>
          <w:b/>
        </w:rPr>
      </w:pPr>
    </w:p>
    <w:p w:rsidR="000E6510" w:rsidRPr="006F253E" w:rsidRDefault="000E6510" w:rsidP="006F253E">
      <w:pPr>
        <w:pStyle w:val="maintext"/>
        <w:ind w:firstLineChars="0" w:firstLine="0"/>
        <w:rPr>
          <w:rFonts w:ascii="Calibri" w:hAnsi="Calibri"/>
          <w:b/>
        </w:rPr>
      </w:pPr>
    </w:p>
    <w:p w:rsidR="001A48EC" w:rsidRPr="00172743" w:rsidRDefault="00C8702A" w:rsidP="001A48EC">
      <w:pPr>
        <w:pStyle w:val="Heading2"/>
        <w:ind w:left="540"/>
      </w:pPr>
      <w:r>
        <w:lastRenderedPageBreak/>
        <w:t>MT transmission power</w:t>
      </w:r>
    </w:p>
    <w:p w:rsidR="00FC3FE6" w:rsidRDefault="000E6510" w:rsidP="00DC61A8">
      <w:pPr>
        <w:pStyle w:val="maintext"/>
        <w:ind w:firstLineChars="0" w:firstLine="0"/>
        <w:rPr>
          <w:rFonts w:ascii="Calibri" w:hAnsi="Calibri"/>
        </w:rPr>
      </w:pPr>
      <w:r>
        <w:rPr>
          <w:rFonts w:ascii="Calibri" w:hAnsi="Calibri"/>
        </w:rPr>
        <w:t xml:space="preserve">From a RAN architecture and protocol stack perspective the IAB-node MT function has a very large amount of commonality with a regular access UE. However, from an RF perspective, as discussed in the previous section, the IAB node may be implemented in such a way that a common antenna and transceiver platform is used for both the DU and MT functions. In this case, </w:t>
      </w:r>
      <w:r w:rsidR="00DE38DC">
        <w:rPr>
          <w:rFonts w:ascii="Calibri" w:hAnsi="Calibri"/>
        </w:rPr>
        <w:t xml:space="preserve">considerations such as the maximum UL transmission power capability of the IAB-node MT will be the same as for the DL transmissions of the IAB-node DU. </w:t>
      </w:r>
    </w:p>
    <w:p w:rsidR="00DC61A8" w:rsidRDefault="004050F6" w:rsidP="00DC61A8">
      <w:pPr>
        <w:pStyle w:val="maintext"/>
        <w:ind w:firstLineChars="0" w:firstLine="0"/>
        <w:rPr>
          <w:rFonts w:ascii="Calibri" w:hAnsi="Calibri"/>
          <w:b/>
          <w:lang w:val="en-US"/>
        </w:rPr>
      </w:pPr>
      <w:r w:rsidRPr="0070610B">
        <w:rPr>
          <w:rFonts w:ascii="Calibri" w:hAnsi="Calibri"/>
          <w:b/>
        </w:rPr>
        <w:t xml:space="preserve">Proposal </w:t>
      </w:r>
      <w:r w:rsidR="0054154F">
        <w:rPr>
          <w:rFonts w:ascii="Calibri" w:hAnsi="Calibri"/>
          <w:b/>
        </w:rPr>
        <w:t>2</w:t>
      </w:r>
      <w:r w:rsidRPr="0070610B">
        <w:rPr>
          <w:rFonts w:ascii="Calibri" w:hAnsi="Calibri"/>
          <w:b/>
        </w:rPr>
        <w:t xml:space="preserve">: </w:t>
      </w:r>
      <w:r w:rsidR="00C8702A">
        <w:rPr>
          <w:rFonts w:ascii="Calibri" w:hAnsi="Calibri"/>
          <w:b/>
        </w:rPr>
        <w:t>Requirements for UL transmission</w:t>
      </w:r>
      <w:r w:rsidR="00DE38DC">
        <w:rPr>
          <w:rFonts w:ascii="Calibri" w:hAnsi="Calibri"/>
          <w:b/>
        </w:rPr>
        <w:t>s</w:t>
      </w:r>
      <w:r w:rsidR="00C8702A">
        <w:rPr>
          <w:rFonts w:ascii="Calibri" w:hAnsi="Calibri"/>
          <w:b/>
        </w:rPr>
        <w:t xml:space="preserve"> from an IAB-node (e.g. by the MT function) should consider the capability </w:t>
      </w:r>
      <w:r w:rsidR="00DE38DC">
        <w:rPr>
          <w:rFonts w:ascii="Calibri" w:hAnsi="Calibri"/>
          <w:b/>
        </w:rPr>
        <w:t xml:space="preserve">to support the same maximum transmission power as DL transmissions. </w:t>
      </w:r>
    </w:p>
    <w:p w:rsidR="002879EC" w:rsidRPr="00117F7E" w:rsidRDefault="002879EC" w:rsidP="00DC61A8">
      <w:pPr>
        <w:pStyle w:val="maintext"/>
        <w:ind w:firstLineChars="0" w:firstLine="0"/>
        <w:rPr>
          <w:rFonts w:ascii="Calibri" w:hAnsi="Calibri"/>
        </w:rPr>
      </w:pPr>
    </w:p>
    <w:p w:rsidR="002879EC" w:rsidRDefault="00FB1359" w:rsidP="002879EC">
      <w:pPr>
        <w:pStyle w:val="Heading2"/>
        <w:ind w:left="540"/>
      </w:pPr>
      <w:r>
        <w:t>IAB node ACLR requirements</w:t>
      </w:r>
    </w:p>
    <w:p w:rsidR="00DE38DC" w:rsidRPr="00796E82" w:rsidRDefault="00796E82" w:rsidP="00DE38DC">
      <w:pPr>
        <w:rPr>
          <w:rFonts w:ascii="Calibri" w:eastAsia="Malgun Gothic" w:hAnsi="Calibri" w:cs="Batang"/>
          <w:lang w:val="en-GB" w:eastAsia="ko-KR"/>
        </w:rPr>
      </w:pPr>
      <w:r>
        <w:rPr>
          <w:rFonts w:ascii="Calibri" w:eastAsia="Malgun Gothic" w:hAnsi="Calibri" w:cs="Batang"/>
          <w:lang w:val="en-GB" w:eastAsia="ko-KR"/>
        </w:rPr>
        <w:t>C</w:t>
      </w:r>
      <w:r w:rsidRPr="00796E82">
        <w:rPr>
          <w:rFonts w:ascii="Calibri" w:eastAsia="Malgun Gothic" w:hAnsi="Calibri" w:cs="Batang"/>
          <w:lang w:val="en-GB" w:eastAsia="ko-KR"/>
        </w:rPr>
        <w:t>onsidering that IAB deployments will be coexisting with existing regular BS deployments,</w:t>
      </w:r>
      <w:r>
        <w:rPr>
          <w:rFonts w:ascii="Calibri" w:eastAsia="Malgun Gothic" w:hAnsi="Calibri" w:cs="Batang"/>
          <w:lang w:val="en-GB" w:eastAsia="ko-KR"/>
        </w:rPr>
        <w:t xml:space="preserve"> it is reasonable to expect that t</w:t>
      </w:r>
      <w:r w:rsidRPr="00796E82">
        <w:rPr>
          <w:rFonts w:ascii="Calibri" w:eastAsia="Malgun Gothic" w:hAnsi="Calibri" w:cs="Batang"/>
          <w:lang w:val="en-GB" w:eastAsia="ko-KR"/>
        </w:rPr>
        <w:t>he existing ACLR requirements which apply to regular BS equipment should be the starting point for determining ACLR requirements for IAB nodes.</w:t>
      </w:r>
      <w:r>
        <w:rPr>
          <w:rFonts w:ascii="Calibri" w:eastAsia="Malgun Gothic" w:hAnsi="Calibri" w:cs="Batang"/>
          <w:lang w:val="en-GB" w:eastAsia="ko-KR"/>
        </w:rPr>
        <w:t xml:space="preserve"> Of course, further considerations considering the half-duplex aspect and need for TDM of TDD patterns across IAB nodes need to be evaluated as part of co-existence simulations of IAB and non-IAB deployments on adjacent spectrum bands [2].</w:t>
      </w:r>
    </w:p>
    <w:p w:rsidR="002879EC" w:rsidRDefault="002879EC" w:rsidP="002879EC">
      <w:pPr>
        <w:pStyle w:val="maintext"/>
        <w:ind w:firstLineChars="0" w:firstLine="0"/>
        <w:rPr>
          <w:rFonts w:ascii="Calibri" w:hAnsi="Calibri"/>
          <w:b/>
          <w:lang w:val="en-US"/>
        </w:rPr>
      </w:pPr>
      <w:r>
        <w:rPr>
          <w:rFonts w:ascii="Calibri" w:hAnsi="Calibri"/>
          <w:b/>
        </w:rPr>
        <w:t xml:space="preserve">Proposal </w:t>
      </w:r>
      <w:r w:rsidR="0054154F">
        <w:rPr>
          <w:rFonts w:ascii="Calibri" w:hAnsi="Calibri"/>
          <w:b/>
        </w:rPr>
        <w:t>3</w:t>
      </w:r>
      <w:r w:rsidRPr="00532A30">
        <w:rPr>
          <w:rFonts w:ascii="Calibri" w:hAnsi="Calibri"/>
          <w:b/>
        </w:rPr>
        <w:t xml:space="preserve">: </w:t>
      </w:r>
      <w:r w:rsidR="007E20F9">
        <w:rPr>
          <w:rFonts w:ascii="Calibri" w:hAnsi="Calibri"/>
          <w:b/>
        </w:rPr>
        <w:t xml:space="preserve">The </w:t>
      </w:r>
      <w:r w:rsidR="00FC3FE6">
        <w:rPr>
          <w:rFonts w:ascii="Calibri" w:hAnsi="Calibri"/>
          <w:b/>
        </w:rPr>
        <w:t xml:space="preserve">existing </w:t>
      </w:r>
      <w:r w:rsidR="007E20F9">
        <w:rPr>
          <w:rFonts w:ascii="Calibri" w:hAnsi="Calibri"/>
          <w:b/>
        </w:rPr>
        <w:t xml:space="preserve">ACLR requirements which apply to regular BS equipment should </w:t>
      </w:r>
      <w:r w:rsidR="00FC3FE6">
        <w:rPr>
          <w:rFonts w:ascii="Calibri" w:hAnsi="Calibri"/>
          <w:b/>
        </w:rPr>
        <w:t>be the starting point for determining ACLR requirements for IAB nodes</w:t>
      </w:r>
      <w:r w:rsidR="007E20F9">
        <w:rPr>
          <w:rFonts w:ascii="Calibri" w:hAnsi="Calibri"/>
          <w:b/>
        </w:rPr>
        <w:t>.</w:t>
      </w:r>
    </w:p>
    <w:p w:rsidR="000337FD" w:rsidRDefault="000337FD" w:rsidP="002879EC">
      <w:pPr>
        <w:pStyle w:val="maintext"/>
        <w:ind w:firstLineChars="0" w:firstLine="0"/>
        <w:rPr>
          <w:rFonts w:ascii="Calibri" w:hAnsi="Calibri"/>
          <w:b/>
          <w:lang w:val="en-US"/>
        </w:rPr>
      </w:pPr>
    </w:p>
    <w:p w:rsidR="00984D50" w:rsidRPr="009D7C68" w:rsidRDefault="00984D50" w:rsidP="009D7C68">
      <w:pPr>
        <w:pStyle w:val="maintext"/>
        <w:ind w:firstLineChars="0" w:firstLine="0"/>
        <w:rPr>
          <w:rFonts w:ascii="Calibri" w:hAnsi="Calibri"/>
          <w:b/>
          <w:lang w:val="en-US"/>
        </w:rPr>
      </w:pPr>
    </w:p>
    <w:p w:rsidR="007338D6" w:rsidRPr="00172743" w:rsidRDefault="003A566A" w:rsidP="00326FF6">
      <w:pPr>
        <w:pStyle w:val="Heading1"/>
      </w:pPr>
      <w:r w:rsidRPr="00172743">
        <w:t>Conclusion</w:t>
      </w:r>
    </w:p>
    <w:p w:rsidR="00843F1C" w:rsidRDefault="00843F1C" w:rsidP="00172743">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the </w:t>
      </w:r>
      <w:r w:rsidR="00DE38DC">
        <w:rPr>
          <w:rFonts w:ascii="Calibri" w:hAnsi="Calibri"/>
        </w:rPr>
        <w:t>RF req</w:t>
      </w:r>
      <w:r w:rsidR="00796E82">
        <w:rPr>
          <w:rFonts w:ascii="Calibri" w:hAnsi="Calibri"/>
        </w:rPr>
        <w:t>uirements for IAB nodes</w:t>
      </w:r>
      <w:r w:rsidR="000D1C0F">
        <w:rPr>
          <w:rFonts w:ascii="Calibri" w:hAnsi="Calibri"/>
        </w:rPr>
        <w:t>. The following proposal</w:t>
      </w:r>
      <w:r w:rsidR="008B1418">
        <w:rPr>
          <w:rFonts w:ascii="Calibri" w:hAnsi="Calibri"/>
        </w:rPr>
        <w:t>s</w:t>
      </w:r>
      <w:r w:rsidR="000D1C0F">
        <w:rPr>
          <w:rFonts w:ascii="Calibri" w:hAnsi="Calibri"/>
        </w:rPr>
        <w:t xml:space="preserve"> w</w:t>
      </w:r>
      <w:r w:rsidR="008B1418">
        <w:rPr>
          <w:rFonts w:ascii="Calibri" w:hAnsi="Calibri"/>
        </w:rPr>
        <w:t>ere</w:t>
      </w:r>
      <w:r w:rsidR="000D1C0F">
        <w:rPr>
          <w:rFonts w:ascii="Calibri" w:hAnsi="Calibri"/>
        </w:rPr>
        <w:t xml:space="preserve"> made:</w:t>
      </w:r>
    </w:p>
    <w:p w:rsidR="00796E82" w:rsidRDefault="00796E82" w:rsidP="00796E82">
      <w:pPr>
        <w:pStyle w:val="maintext"/>
        <w:ind w:firstLineChars="0" w:firstLine="0"/>
        <w:rPr>
          <w:rFonts w:ascii="Calibri" w:hAnsi="Calibri"/>
          <w:b/>
        </w:rPr>
      </w:pPr>
      <w:r>
        <w:rPr>
          <w:rFonts w:ascii="Calibri" w:hAnsi="Calibri"/>
          <w:b/>
        </w:rPr>
        <w:t>Proposal 1: IAB node RF requirements should consider both common HW (e.g. common antenna panel for IAB node DU(s)/MT(s)) and separate HW (e.g. physically separated antenna panels for DU(s)/MT(s)) cases.</w:t>
      </w:r>
    </w:p>
    <w:p w:rsidR="00796E82" w:rsidRDefault="00796E82" w:rsidP="00796E82">
      <w:pPr>
        <w:pStyle w:val="maintext"/>
        <w:ind w:firstLineChars="0" w:firstLine="0"/>
        <w:rPr>
          <w:rFonts w:ascii="Calibri" w:hAnsi="Calibri"/>
          <w:b/>
          <w:lang w:val="en-US"/>
        </w:rPr>
      </w:pPr>
      <w:r w:rsidRPr="0070610B">
        <w:rPr>
          <w:rFonts w:ascii="Calibri" w:hAnsi="Calibri"/>
          <w:b/>
        </w:rPr>
        <w:t xml:space="preserve">Proposal </w:t>
      </w:r>
      <w:r>
        <w:rPr>
          <w:rFonts w:ascii="Calibri" w:hAnsi="Calibri"/>
          <w:b/>
        </w:rPr>
        <w:t>2</w:t>
      </w:r>
      <w:r w:rsidRPr="0070610B">
        <w:rPr>
          <w:rFonts w:ascii="Calibri" w:hAnsi="Calibri"/>
          <w:b/>
        </w:rPr>
        <w:t xml:space="preserve">: </w:t>
      </w:r>
      <w:r>
        <w:rPr>
          <w:rFonts w:ascii="Calibri" w:hAnsi="Calibri"/>
          <w:b/>
        </w:rPr>
        <w:t xml:space="preserve">Requirements for UL transmissions from an IAB-node (e.g. by the MT function) should consider the capability to support the same maximum transmission power as DL transmissions. </w:t>
      </w:r>
    </w:p>
    <w:p w:rsidR="00796E82" w:rsidRDefault="00796E82" w:rsidP="00796E82">
      <w:pPr>
        <w:pStyle w:val="maintext"/>
        <w:ind w:firstLineChars="0" w:firstLine="0"/>
        <w:rPr>
          <w:rFonts w:ascii="Calibri" w:hAnsi="Calibri"/>
          <w:b/>
          <w:lang w:val="en-US"/>
        </w:rPr>
      </w:pPr>
      <w:r>
        <w:rPr>
          <w:rFonts w:ascii="Calibri" w:hAnsi="Calibri"/>
          <w:b/>
        </w:rPr>
        <w:t>Proposal 3</w:t>
      </w:r>
      <w:r w:rsidRPr="00532A30">
        <w:rPr>
          <w:rFonts w:ascii="Calibri" w:hAnsi="Calibri"/>
          <w:b/>
        </w:rPr>
        <w:t xml:space="preserve">: </w:t>
      </w:r>
      <w:r>
        <w:rPr>
          <w:rFonts w:ascii="Calibri" w:hAnsi="Calibri"/>
          <w:b/>
        </w:rPr>
        <w:t>The existing ACLR requirements which apply to regular BS equipment should be the starting point for determining ACLR requirements for IAB nodes.</w:t>
      </w:r>
    </w:p>
    <w:p w:rsidR="00F35911" w:rsidRDefault="00F35911" w:rsidP="00172743">
      <w:pPr>
        <w:spacing w:before="0" w:after="0"/>
        <w:rPr>
          <w:rFonts w:ascii="Calibri" w:hAnsi="Calibri"/>
        </w:rPr>
      </w:pPr>
    </w:p>
    <w:p w:rsidR="00FE6C15" w:rsidRPr="0076067D" w:rsidRDefault="00FE6C15" w:rsidP="0076067D">
      <w:pPr>
        <w:pStyle w:val="Heading1"/>
      </w:pPr>
      <w:r>
        <w:t>Reference</w:t>
      </w:r>
    </w:p>
    <w:p w:rsidR="008D2EE5" w:rsidRDefault="003B2E8D" w:rsidP="003B2E8D">
      <w:pPr>
        <w:pStyle w:val="2222"/>
        <w:spacing w:after="120" w:line="288" w:lineRule="auto"/>
        <w:ind w:firstLineChars="0" w:firstLine="0"/>
        <w:jc w:val="left"/>
        <w:rPr>
          <w:rFonts w:cs="Times New Roman"/>
          <w:lang w:eastAsia="ko-KR"/>
        </w:rPr>
      </w:pPr>
      <w:r>
        <w:rPr>
          <w:rFonts w:cs="Times New Roman"/>
          <w:lang w:eastAsia="ko-KR"/>
        </w:rPr>
        <w:t>[1] RP-182882, New WID: Integrated Access and Backhaul for NR, Qualcomm</w:t>
      </w:r>
    </w:p>
    <w:p w:rsidR="00796E82" w:rsidRPr="003B2E8D" w:rsidRDefault="00796E82" w:rsidP="003B2E8D">
      <w:pPr>
        <w:pStyle w:val="2222"/>
        <w:spacing w:after="120" w:line="288" w:lineRule="auto"/>
        <w:ind w:firstLineChars="0" w:firstLine="0"/>
        <w:jc w:val="left"/>
        <w:rPr>
          <w:rFonts w:cs="Times New Roman"/>
          <w:lang w:eastAsia="ko-KR"/>
        </w:rPr>
      </w:pPr>
      <w:r>
        <w:rPr>
          <w:rFonts w:cs="Times New Roman"/>
          <w:lang w:eastAsia="ko-KR"/>
        </w:rPr>
        <w:t>[2] R4-19</w:t>
      </w:r>
      <w:r w:rsidR="00EC5ADC">
        <w:rPr>
          <w:rFonts w:cs="Times New Roman"/>
          <w:lang w:eastAsia="ko-KR"/>
        </w:rPr>
        <w:t>0620</w:t>
      </w:r>
      <w:r>
        <w:rPr>
          <w:rFonts w:cs="Times New Roman"/>
          <w:lang w:eastAsia="ko-KR"/>
        </w:rPr>
        <w:t xml:space="preserve">, </w:t>
      </w:r>
      <w:r w:rsidRPr="00796E82">
        <w:rPr>
          <w:rFonts w:cs="Times New Roman"/>
          <w:lang w:eastAsia="ko-KR"/>
        </w:rPr>
        <w:t>Co-existence scenarios for IAB</w:t>
      </w:r>
      <w:r>
        <w:rPr>
          <w:rFonts w:cs="Times New Roman"/>
          <w:lang w:eastAsia="ko-KR"/>
        </w:rPr>
        <w:t>, AT&amp;T</w:t>
      </w:r>
    </w:p>
    <w:sectPr w:rsidR="00796E82" w:rsidRPr="003B2E8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0B82" w:rsidRDefault="00800B82" w:rsidP="00424124">
      <w:pPr>
        <w:spacing w:before="0" w:after="0"/>
      </w:pPr>
      <w:r>
        <w:separator/>
      </w:r>
    </w:p>
  </w:endnote>
  <w:endnote w:type="continuationSeparator" w:id="0">
    <w:p w:rsidR="00800B82" w:rsidRDefault="00800B82"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0B82" w:rsidRDefault="00800B82" w:rsidP="00424124">
      <w:pPr>
        <w:spacing w:before="0" w:after="0"/>
      </w:pPr>
      <w:r>
        <w:separator/>
      </w:r>
    </w:p>
  </w:footnote>
  <w:footnote w:type="continuationSeparator" w:id="0">
    <w:p w:rsidR="00800B82" w:rsidRDefault="00800B82"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0409001B">
      <w:start w:val="1"/>
      <w:numFmt w:val="lowerRoman"/>
      <w:lvlText w:val="%3."/>
      <w:lvlJc w:val="right"/>
      <w:pPr>
        <w:ind w:left="2560" w:hanging="180"/>
      </w:pPr>
    </w:lvl>
    <w:lvl w:ilvl="3" w:tplc="0409000F">
      <w:start w:val="1"/>
      <w:numFmt w:val="decimal"/>
      <w:lvlText w:val="%4."/>
      <w:lvlJc w:val="left"/>
      <w:pPr>
        <w:ind w:left="3280" w:hanging="360"/>
      </w:pPr>
    </w:lvl>
    <w:lvl w:ilvl="4" w:tplc="04090019">
      <w:start w:val="1"/>
      <w:numFmt w:val="lowerLetter"/>
      <w:lvlText w:val="%5."/>
      <w:lvlJc w:val="left"/>
      <w:pPr>
        <w:ind w:left="4000" w:hanging="360"/>
      </w:pPr>
    </w:lvl>
    <w:lvl w:ilvl="5" w:tplc="0409001B">
      <w:start w:val="1"/>
      <w:numFmt w:val="lowerRoman"/>
      <w:lvlText w:val="%6."/>
      <w:lvlJc w:val="right"/>
      <w:pPr>
        <w:ind w:left="4720" w:hanging="180"/>
      </w:pPr>
    </w:lvl>
    <w:lvl w:ilvl="6" w:tplc="0409000F">
      <w:start w:val="1"/>
      <w:numFmt w:val="decimal"/>
      <w:lvlText w:val="%7."/>
      <w:lvlJc w:val="left"/>
      <w:pPr>
        <w:ind w:left="5440" w:hanging="360"/>
      </w:pPr>
    </w:lvl>
    <w:lvl w:ilvl="7" w:tplc="04090019">
      <w:start w:val="1"/>
      <w:numFmt w:val="lowerLetter"/>
      <w:lvlText w:val="%8."/>
      <w:lvlJc w:val="left"/>
      <w:pPr>
        <w:ind w:left="6160" w:hanging="360"/>
      </w:pPr>
    </w:lvl>
    <w:lvl w:ilvl="8" w:tplc="0409001B">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5C6734E"/>
    <w:multiLevelType w:val="hybridMultilevel"/>
    <w:tmpl w:val="A4142678"/>
    <w:lvl w:ilvl="0" w:tplc="337C7966">
      <w:start w:val="1"/>
      <w:numFmt w:val="bullet"/>
      <w:lvlText w:val="•"/>
      <w:lvlJc w:val="left"/>
      <w:pPr>
        <w:tabs>
          <w:tab w:val="num" w:pos="720"/>
        </w:tabs>
        <w:ind w:left="720" w:hanging="360"/>
      </w:pPr>
      <w:rPr>
        <w:rFonts w:ascii="Arial" w:hAnsi="Arial" w:hint="default"/>
      </w:rPr>
    </w:lvl>
    <w:lvl w:ilvl="1" w:tplc="9920DA48">
      <w:start w:val="1339"/>
      <w:numFmt w:val="bullet"/>
      <w:lvlText w:val="–"/>
      <w:lvlJc w:val="left"/>
      <w:pPr>
        <w:tabs>
          <w:tab w:val="num" w:pos="1440"/>
        </w:tabs>
        <w:ind w:left="1440" w:hanging="360"/>
      </w:pPr>
      <w:rPr>
        <w:rFonts w:ascii="Arial" w:hAnsi="Arial" w:hint="default"/>
      </w:rPr>
    </w:lvl>
    <w:lvl w:ilvl="2" w:tplc="BCFA4A4C">
      <w:start w:val="1339"/>
      <w:numFmt w:val="bullet"/>
      <w:lvlText w:val="•"/>
      <w:lvlJc w:val="left"/>
      <w:pPr>
        <w:tabs>
          <w:tab w:val="num" w:pos="2160"/>
        </w:tabs>
        <w:ind w:left="2160" w:hanging="360"/>
      </w:pPr>
      <w:rPr>
        <w:rFonts w:ascii="Arial" w:hAnsi="Arial" w:hint="default"/>
      </w:rPr>
    </w:lvl>
    <w:lvl w:ilvl="3" w:tplc="BF8E3690" w:tentative="1">
      <w:start w:val="1"/>
      <w:numFmt w:val="bullet"/>
      <w:lvlText w:val="•"/>
      <w:lvlJc w:val="left"/>
      <w:pPr>
        <w:tabs>
          <w:tab w:val="num" w:pos="2880"/>
        </w:tabs>
        <w:ind w:left="2880" w:hanging="360"/>
      </w:pPr>
      <w:rPr>
        <w:rFonts w:ascii="Arial" w:hAnsi="Arial" w:hint="default"/>
      </w:rPr>
    </w:lvl>
    <w:lvl w:ilvl="4" w:tplc="A2ECB358" w:tentative="1">
      <w:start w:val="1"/>
      <w:numFmt w:val="bullet"/>
      <w:lvlText w:val="•"/>
      <w:lvlJc w:val="left"/>
      <w:pPr>
        <w:tabs>
          <w:tab w:val="num" w:pos="3600"/>
        </w:tabs>
        <w:ind w:left="3600" w:hanging="360"/>
      </w:pPr>
      <w:rPr>
        <w:rFonts w:ascii="Arial" w:hAnsi="Arial" w:hint="default"/>
      </w:rPr>
    </w:lvl>
    <w:lvl w:ilvl="5" w:tplc="DBF02AA4" w:tentative="1">
      <w:start w:val="1"/>
      <w:numFmt w:val="bullet"/>
      <w:lvlText w:val="•"/>
      <w:lvlJc w:val="left"/>
      <w:pPr>
        <w:tabs>
          <w:tab w:val="num" w:pos="4320"/>
        </w:tabs>
        <w:ind w:left="4320" w:hanging="360"/>
      </w:pPr>
      <w:rPr>
        <w:rFonts w:ascii="Arial" w:hAnsi="Arial" w:hint="default"/>
      </w:rPr>
    </w:lvl>
    <w:lvl w:ilvl="6" w:tplc="3DFEBFBA" w:tentative="1">
      <w:start w:val="1"/>
      <w:numFmt w:val="bullet"/>
      <w:lvlText w:val="•"/>
      <w:lvlJc w:val="left"/>
      <w:pPr>
        <w:tabs>
          <w:tab w:val="num" w:pos="5040"/>
        </w:tabs>
        <w:ind w:left="5040" w:hanging="360"/>
      </w:pPr>
      <w:rPr>
        <w:rFonts w:ascii="Arial" w:hAnsi="Arial" w:hint="default"/>
      </w:rPr>
    </w:lvl>
    <w:lvl w:ilvl="7" w:tplc="D08ACC68" w:tentative="1">
      <w:start w:val="1"/>
      <w:numFmt w:val="bullet"/>
      <w:lvlText w:val="•"/>
      <w:lvlJc w:val="left"/>
      <w:pPr>
        <w:tabs>
          <w:tab w:val="num" w:pos="5760"/>
        </w:tabs>
        <w:ind w:left="5760" w:hanging="360"/>
      </w:pPr>
      <w:rPr>
        <w:rFonts w:ascii="Arial" w:hAnsi="Arial" w:hint="default"/>
      </w:rPr>
    </w:lvl>
    <w:lvl w:ilvl="8" w:tplc="29DC467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1B4F11"/>
    <w:multiLevelType w:val="hybridMultilevel"/>
    <w:tmpl w:val="EBB41D9C"/>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D4C2A8A"/>
    <w:multiLevelType w:val="hybridMultilevel"/>
    <w:tmpl w:val="48A083F4"/>
    <w:lvl w:ilvl="0" w:tplc="74CAF61E">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4F051E"/>
    <w:multiLevelType w:val="hybridMultilevel"/>
    <w:tmpl w:val="FC4C7178"/>
    <w:lvl w:ilvl="0" w:tplc="A9722C04">
      <w:start w:val="1"/>
      <w:numFmt w:val="bullet"/>
      <w:lvlText w:val="–"/>
      <w:lvlJc w:val="left"/>
      <w:pPr>
        <w:tabs>
          <w:tab w:val="num" w:pos="360"/>
        </w:tabs>
        <w:ind w:left="360" w:hanging="360"/>
      </w:pPr>
      <w:rPr>
        <w:rFonts w:ascii="Arial" w:hAnsi="Arial" w:hint="default"/>
      </w:rPr>
    </w:lvl>
    <w:lvl w:ilvl="1" w:tplc="E5384838">
      <w:start w:val="1"/>
      <w:numFmt w:val="bullet"/>
      <w:lvlText w:val="–"/>
      <w:lvlJc w:val="left"/>
      <w:pPr>
        <w:tabs>
          <w:tab w:val="num" w:pos="1080"/>
        </w:tabs>
        <w:ind w:left="1080" w:hanging="360"/>
      </w:pPr>
      <w:rPr>
        <w:rFonts w:ascii="Arial" w:hAnsi="Arial" w:hint="default"/>
      </w:rPr>
    </w:lvl>
    <w:lvl w:ilvl="2" w:tplc="1B8AE236">
      <w:start w:val="2496"/>
      <w:numFmt w:val="bullet"/>
      <w:lvlText w:val="•"/>
      <w:lvlJc w:val="left"/>
      <w:pPr>
        <w:tabs>
          <w:tab w:val="num" w:pos="1800"/>
        </w:tabs>
        <w:ind w:left="1800" w:hanging="360"/>
      </w:pPr>
      <w:rPr>
        <w:rFonts w:ascii="Arial" w:hAnsi="Arial" w:hint="default"/>
      </w:rPr>
    </w:lvl>
    <w:lvl w:ilvl="3" w:tplc="CBDC65DE">
      <w:start w:val="2496"/>
      <w:numFmt w:val="bullet"/>
      <w:lvlText w:val="–"/>
      <w:lvlJc w:val="left"/>
      <w:pPr>
        <w:tabs>
          <w:tab w:val="num" w:pos="2520"/>
        </w:tabs>
        <w:ind w:left="2520" w:hanging="360"/>
      </w:pPr>
      <w:rPr>
        <w:rFonts w:ascii="Arial" w:hAnsi="Arial" w:hint="default"/>
      </w:rPr>
    </w:lvl>
    <w:lvl w:ilvl="4" w:tplc="6BF043C8" w:tentative="1">
      <w:start w:val="1"/>
      <w:numFmt w:val="bullet"/>
      <w:lvlText w:val="–"/>
      <w:lvlJc w:val="left"/>
      <w:pPr>
        <w:tabs>
          <w:tab w:val="num" w:pos="3240"/>
        </w:tabs>
        <w:ind w:left="3240" w:hanging="360"/>
      </w:pPr>
      <w:rPr>
        <w:rFonts w:ascii="Arial" w:hAnsi="Arial" w:hint="default"/>
      </w:rPr>
    </w:lvl>
    <w:lvl w:ilvl="5" w:tplc="A9326B6A" w:tentative="1">
      <w:start w:val="1"/>
      <w:numFmt w:val="bullet"/>
      <w:lvlText w:val="–"/>
      <w:lvlJc w:val="left"/>
      <w:pPr>
        <w:tabs>
          <w:tab w:val="num" w:pos="3960"/>
        </w:tabs>
        <w:ind w:left="3960" w:hanging="360"/>
      </w:pPr>
      <w:rPr>
        <w:rFonts w:ascii="Arial" w:hAnsi="Arial" w:hint="default"/>
      </w:rPr>
    </w:lvl>
    <w:lvl w:ilvl="6" w:tplc="596C1FBC" w:tentative="1">
      <w:start w:val="1"/>
      <w:numFmt w:val="bullet"/>
      <w:lvlText w:val="–"/>
      <w:lvlJc w:val="left"/>
      <w:pPr>
        <w:tabs>
          <w:tab w:val="num" w:pos="4680"/>
        </w:tabs>
        <w:ind w:left="4680" w:hanging="360"/>
      </w:pPr>
      <w:rPr>
        <w:rFonts w:ascii="Arial" w:hAnsi="Arial" w:hint="default"/>
      </w:rPr>
    </w:lvl>
    <w:lvl w:ilvl="7" w:tplc="B83A0B96" w:tentative="1">
      <w:start w:val="1"/>
      <w:numFmt w:val="bullet"/>
      <w:lvlText w:val="–"/>
      <w:lvlJc w:val="left"/>
      <w:pPr>
        <w:tabs>
          <w:tab w:val="num" w:pos="5400"/>
        </w:tabs>
        <w:ind w:left="5400" w:hanging="360"/>
      </w:pPr>
      <w:rPr>
        <w:rFonts w:ascii="Arial" w:hAnsi="Arial" w:hint="default"/>
      </w:rPr>
    </w:lvl>
    <w:lvl w:ilvl="8" w:tplc="CBFC199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6"/>
  </w:num>
  <w:num w:numId="2">
    <w:abstractNumId w:val="4"/>
  </w:num>
  <w:num w:numId="3">
    <w:abstractNumId w:val="9"/>
  </w:num>
  <w:num w:numId="4">
    <w:abstractNumId w:val="1"/>
  </w:num>
  <w:num w:numId="5">
    <w:abstractNumId w:val="3"/>
  </w:num>
  <w:num w:numId="6">
    <w:abstractNumId w:val="8"/>
  </w:num>
  <w:num w:numId="7">
    <w:abstractNumId w:val="5"/>
  </w:num>
  <w:num w:numId="8">
    <w:abstractNumId w:val="7"/>
  </w:num>
  <w:num w:numId="9">
    <w:abstractNumId w:val="2"/>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24124"/>
    <w:rsid w:val="00001127"/>
    <w:rsid w:val="00001BBA"/>
    <w:rsid w:val="000052FF"/>
    <w:rsid w:val="0001485D"/>
    <w:rsid w:val="000149EC"/>
    <w:rsid w:val="00017866"/>
    <w:rsid w:val="00020F1A"/>
    <w:rsid w:val="00031603"/>
    <w:rsid w:val="00032C70"/>
    <w:rsid w:val="00032D47"/>
    <w:rsid w:val="000337FD"/>
    <w:rsid w:val="000463E4"/>
    <w:rsid w:val="00051B4B"/>
    <w:rsid w:val="000550BC"/>
    <w:rsid w:val="0005518A"/>
    <w:rsid w:val="000643FA"/>
    <w:rsid w:val="000730C9"/>
    <w:rsid w:val="0007523A"/>
    <w:rsid w:val="0007575F"/>
    <w:rsid w:val="00075FD1"/>
    <w:rsid w:val="0008192E"/>
    <w:rsid w:val="00084E8C"/>
    <w:rsid w:val="00085800"/>
    <w:rsid w:val="000865E3"/>
    <w:rsid w:val="000917C5"/>
    <w:rsid w:val="000A36A9"/>
    <w:rsid w:val="000B0720"/>
    <w:rsid w:val="000B58C4"/>
    <w:rsid w:val="000B5AA9"/>
    <w:rsid w:val="000B6D99"/>
    <w:rsid w:val="000C21D0"/>
    <w:rsid w:val="000C57B9"/>
    <w:rsid w:val="000C75A4"/>
    <w:rsid w:val="000D1C0F"/>
    <w:rsid w:val="000D38DC"/>
    <w:rsid w:val="000E0384"/>
    <w:rsid w:val="000E29D8"/>
    <w:rsid w:val="000E357F"/>
    <w:rsid w:val="000E6510"/>
    <w:rsid w:val="0010303E"/>
    <w:rsid w:val="0011327D"/>
    <w:rsid w:val="00116DA6"/>
    <w:rsid w:val="00117F7E"/>
    <w:rsid w:val="001231C8"/>
    <w:rsid w:val="00124646"/>
    <w:rsid w:val="0013088E"/>
    <w:rsid w:val="00131A07"/>
    <w:rsid w:val="00137E15"/>
    <w:rsid w:val="001417A8"/>
    <w:rsid w:val="00144CB3"/>
    <w:rsid w:val="0015319D"/>
    <w:rsid w:val="00153793"/>
    <w:rsid w:val="00171B55"/>
    <w:rsid w:val="00172743"/>
    <w:rsid w:val="001A48EC"/>
    <w:rsid w:val="001A5A68"/>
    <w:rsid w:val="001A6212"/>
    <w:rsid w:val="001A75E0"/>
    <w:rsid w:val="001B731B"/>
    <w:rsid w:val="001C0E9F"/>
    <w:rsid w:val="001C2009"/>
    <w:rsid w:val="001C699C"/>
    <w:rsid w:val="001E0CE1"/>
    <w:rsid w:val="001E58CC"/>
    <w:rsid w:val="001F59ED"/>
    <w:rsid w:val="001F768F"/>
    <w:rsid w:val="0021167B"/>
    <w:rsid w:val="00211D37"/>
    <w:rsid w:val="00212204"/>
    <w:rsid w:val="002122D0"/>
    <w:rsid w:val="00216763"/>
    <w:rsid w:val="00222269"/>
    <w:rsid w:val="00233D70"/>
    <w:rsid w:val="00235373"/>
    <w:rsid w:val="00241795"/>
    <w:rsid w:val="00242080"/>
    <w:rsid w:val="00246D61"/>
    <w:rsid w:val="0024786A"/>
    <w:rsid w:val="0025058B"/>
    <w:rsid w:val="00262116"/>
    <w:rsid w:val="002641FE"/>
    <w:rsid w:val="00265254"/>
    <w:rsid w:val="0026717E"/>
    <w:rsid w:val="00267362"/>
    <w:rsid w:val="002725E8"/>
    <w:rsid w:val="00272EC2"/>
    <w:rsid w:val="00273B2A"/>
    <w:rsid w:val="00274677"/>
    <w:rsid w:val="00274CC5"/>
    <w:rsid w:val="00276785"/>
    <w:rsid w:val="002858D4"/>
    <w:rsid w:val="002879EC"/>
    <w:rsid w:val="0029147A"/>
    <w:rsid w:val="00297225"/>
    <w:rsid w:val="002A005E"/>
    <w:rsid w:val="002A0270"/>
    <w:rsid w:val="002B7479"/>
    <w:rsid w:val="002C0488"/>
    <w:rsid w:val="002C4097"/>
    <w:rsid w:val="002D2C3E"/>
    <w:rsid w:val="002D3D42"/>
    <w:rsid w:val="002D479B"/>
    <w:rsid w:val="002D6EC9"/>
    <w:rsid w:val="002D787B"/>
    <w:rsid w:val="00315DC4"/>
    <w:rsid w:val="00317020"/>
    <w:rsid w:val="00320B4D"/>
    <w:rsid w:val="00324FAE"/>
    <w:rsid w:val="00326FF6"/>
    <w:rsid w:val="00327A22"/>
    <w:rsid w:val="0033513A"/>
    <w:rsid w:val="00342130"/>
    <w:rsid w:val="00346605"/>
    <w:rsid w:val="0035318F"/>
    <w:rsid w:val="00354C01"/>
    <w:rsid w:val="00361551"/>
    <w:rsid w:val="0036306A"/>
    <w:rsid w:val="003727DB"/>
    <w:rsid w:val="00386642"/>
    <w:rsid w:val="00392176"/>
    <w:rsid w:val="003921D6"/>
    <w:rsid w:val="003A298A"/>
    <w:rsid w:val="003A553B"/>
    <w:rsid w:val="003A566A"/>
    <w:rsid w:val="003B1EC9"/>
    <w:rsid w:val="003B2414"/>
    <w:rsid w:val="003B2E8D"/>
    <w:rsid w:val="003C2392"/>
    <w:rsid w:val="003C2E75"/>
    <w:rsid w:val="003D39F5"/>
    <w:rsid w:val="003D4B45"/>
    <w:rsid w:val="003E1304"/>
    <w:rsid w:val="003E35D4"/>
    <w:rsid w:val="003E7121"/>
    <w:rsid w:val="003F0731"/>
    <w:rsid w:val="003F33B4"/>
    <w:rsid w:val="004050F6"/>
    <w:rsid w:val="00405CEA"/>
    <w:rsid w:val="00405F6D"/>
    <w:rsid w:val="00424124"/>
    <w:rsid w:val="00434212"/>
    <w:rsid w:val="00437624"/>
    <w:rsid w:val="00440F6E"/>
    <w:rsid w:val="00443645"/>
    <w:rsid w:val="00443CD6"/>
    <w:rsid w:val="00444DE5"/>
    <w:rsid w:val="004552C9"/>
    <w:rsid w:val="004607AC"/>
    <w:rsid w:val="0046127E"/>
    <w:rsid w:val="004678E1"/>
    <w:rsid w:val="00473281"/>
    <w:rsid w:val="00473B68"/>
    <w:rsid w:val="0048301B"/>
    <w:rsid w:val="004A5297"/>
    <w:rsid w:val="004A5ABE"/>
    <w:rsid w:val="004A6424"/>
    <w:rsid w:val="004A69D0"/>
    <w:rsid w:val="004A6A82"/>
    <w:rsid w:val="004B0D85"/>
    <w:rsid w:val="004B6AA8"/>
    <w:rsid w:val="004B6E00"/>
    <w:rsid w:val="004C186B"/>
    <w:rsid w:val="004C3F2E"/>
    <w:rsid w:val="004C4856"/>
    <w:rsid w:val="004C7784"/>
    <w:rsid w:val="004D078F"/>
    <w:rsid w:val="004D780D"/>
    <w:rsid w:val="004D7CF8"/>
    <w:rsid w:val="004E6BC0"/>
    <w:rsid w:val="004E6D3B"/>
    <w:rsid w:val="005055A6"/>
    <w:rsid w:val="00507060"/>
    <w:rsid w:val="0051179B"/>
    <w:rsid w:val="00512A5D"/>
    <w:rsid w:val="0051424F"/>
    <w:rsid w:val="00514A31"/>
    <w:rsid w:val="00523623"/>
    <w:rsid w:val="005300F0"/>
    <w:rsid w:val="005413B0"/>
    <w:rsid w:val="0054154F"/>
    <w:rsid w:val="0054560C"/>
    <w:rsid w:val="00545FD3"/>
    <w:rsid w:val="0056238B"/>
    <w:rsid w:val="00565BDB"/>
    <w:rsid w:val="0057145F"/>
    <w:rsid w:val="005758E7"/>
    <w:rsid w:val="005778C8"/>
    <w:rsid w:val="0058120D"/>
    <w:rsid w:val="005A44B1"/>
    <w:rsid w:val="005A5B3A"/>
    <w:rsid w:val="005B47BD"/>
    <w:rsid w:val="005B6FA6"/>
    <w:rsid w:val="005C2F6B"/>
    <w:rsid w:val="005D2C51"/>
    <w:rsid w:val="005F613D"/>
    <w:rsid w:val="00603015"/>
    <w:rsid w:val="0060603E"/>
    <w:rsid w:val="00627DF4"/>
    <w:rsid w:val="00634707"/>
    <w:rsid w:val="00644034"/>
    <w:rsid w:val="00652AC8"/>
    <w:rsid w:val="0066157D"/>
    <w:rsid w:val="006756FB"/>
    <w:rsid w:val="00676BB8"/>
    <w:rsid w:val="00677BD0"/>
    <w:rsid w:val="00680F28"/>
    <w:rsid w:val="00685B82"/>
    <w:rsid w:val="00685E11"/>
    <w:rsid w:val="00687C0D"/>
    <w:rsid w:val="0069705B"/>
    <w:rsid w:val="006A0EDC"/>
    <w:rsid w:val="006A18DB"/>
    <w:rsid w:val="006A2D2E"/>
    <w:rsid w:val="006B545C"/>
    <w:rsid w:val="006C452E"/>
    <w:rsid w:val="006C6365"/>
    <w:rsid w:val="006E790B"/>
    <w:rsid w:val="006F055C"/>
    <w:rsid w:val="006F253E"/>
    <w:rsid w:val="0070610B"/>
    <w:rsid w:val="00707D20"/>
    <w:rsid w:val="00721AD7"/>
    <w:rsid w:val="007225EF"/>
    <w:rsid w:val="00722BA6"/>
    <w:rsid w:val="00723DC5"/>
    <w:rsid w:val="00727952"/>
    <w:rsid w:val="007338D6"/>
    <w:rsid w:val="00736DA9"/>
    <w:rsid w:val="00740B36"/>
    <w:rsid w:val="007422B7"/>
    <w:rsid w:val="00747A6F"/>
    <w:rsid w:val="0075622F"/>
    <w:rsid w:val="00756B44"/>
    <w:rsid w:val="0076067D"/>
    <w:rsid w:val="00782CDC"/>
    <w:rsid w:val="007839F9"/>
    <w:rsid w:val="0079276D"/>
    <w:rsid w:val="00796E82"/>
    <w:rsid w:val="007A2765"/>
    <w:rsid w:val="007B13E5"/>
    <w:rsid w:val="007B2F6B"/>
    <w:rsid w:val="007B473A"/>
    <w:rsid w:val="007C0EE8"/>
    <w:rsid w:val="007D2C48"/>
    <w:rsid w:val="007E20F9"/>
    <w:rsid w:val="007E546F"/>
    <w:rsid w:val="007F0AF3"/>
    <w:rsid w:val="007F1928"/>
    <w:rsid w:val="007F392E"/>
    <w:rsid w:val="007F7A08"/>
    <w:rsid w:val="00800B82"/>
    <w:rsid w:val="00811A1B"/>
    <w:rsid w:val="00812560"/>
    <w:rsid w:val="008130E0"/>
    <w:rsid w:val="00817B5B"/>
    <w:rsid w:val="00824DED"/>
    <w:rsid w:val="00826E5A"/>
    <w:rsid w:val="00836505"/>
    <w:rsid w:val="0083713D"/>
    <w:rsid w:val="008437B2"/>
    <w:rsid w:val="00843F1C"/>
    <w:rsid w:val="00850DCE"/>
    <w:rsid w:val="00854FBB"/>
    <w:rsid w:val="008661BA"/>
    <w:rsid w:val="008671A6"/>
    <w:rsid w:val="00871CA8"/>
    <w:rsid w:val="00875E7E"/>
    <w:rsid w:val="00885004"/>
    <w:rsid w:val="00886B7B"/>
    <w:rsid w:val="008878E3"/>
    <w:rsid w:val="00887AB4"/>
    <w:rsid w:val="00894290"/>
    <w:rsid w:val="00897921"/>
    <w:rsid w:val="008A25A1"/>
    <w:rsid w:val="008A5B9B"/>
    <w:rsid w:val="008B0924"/>
    <w:rsid w:val="008B1418"/>
    <w:rsid w:val="008B39B6"/>
    <w:rsid w:val="008C1AFD"/>
    <w:rsid w:val="008C4B67"/>
    <w:rsid w:val="008C7E74"/>
    <w:rsid w:val="008D1AEF"/>
    <w:rsid w:val="008D2EE5"/>
    <w:rsid w:val="009041B7"/>
    <w:rsid w:val="00905E86"/>
    <w:rsid w:val="009124E4"/>
    <w:rsid w:val="00924EA9"/>
    <w:rsid w:val="00925FA2"/>
    <w:rsid w:val="00926A9C"/>
    <w:rsid w:val="00927803"/>
    <w:rsid w:val="0093602F"/>
    <w:rsid w:val="00957CD1"/>
    <w:rsid w:val="00961DB2"/>
    <w:rsid w:val="0096209E"/>
    <w:rsid w:val="00962A9C"/>
    <w:rsid w:val="0096326D"/>
    <w:rsid w:val="0097292F"/>
    <w:rsid w:val="009741D9"/>
    <w:rsid w:val="0098292E"/>
    <w:rsid w:val="00982CA4"/>
    <w:rsid w:val="00984235"/>
    <w:rsid w:val="00984D50"/>
    <w:rsid w:val="00993D92"/>
    <w:rsid w:val="009A4D63"/>
    <w:rsid w:val="009A4DDC"/>
    <w:rsid w:val="009A54FC"/>
    <w:rsid w:val="009B08C5"/>
    <w:rsid w:val="009B1347"/>
    <w:rsid w:val="009B3FD1"/>
    <w:rsid w:val="009B52C0"/>
    <w:rsid w:val="009C2167"/>
    <w:rsid w:val="009D46C1"/>
    <w:rsid w:val="009D7C68"/>
    <w:rsid w:val="009E0D02"/>
    <w:rsid w:val="009E2AD6"/>
    <w:rsid w:val="009E4418"/>
    <w:rsid w:val="009E5838"/>
    <w:rsid w:val="009F0F23"/>
    <w:rsid w:val="00A00C85"/>
    <w:rsid w:val="00A11704"/>
    <w:rsid w:val="00A11840"/>
    <w:rsid w:val="00A22C61"/>
    <w:rsid w:val="00A262E4"/>
    <w:rsid w:val="00A26EC3"/>
    <w:rsid w:val="00A27226"/>
    <w:rsid w:val="00A359C7"/>
    <w:rsid w:val="00A41CF3"/>
    <w:rsid w:val="00A45DA7"/>
    <w:rsid w:val="00A4674D"/>
    <w:rsid w:val="00A55FF3"/>
    <w:rsid w:val="00A603CE"/>
    <w:rsid w:val="00A64CF7"/>
    <w:rsid w:val="00A7024B"/>
    <w:rsid w:val="00A821EA"/>
    <w:rsid w:val="00A8721E"/>
    <w:rsid w:val="00A91680"/>
    <w:rsid w:val="00A92495"/>
    <w:rsid w:val="00A9377F"/>
    <w:rsid w:val="00AA5899"/>
    <w:rsid w:val="00AB75A3"/>
    <w:rsid w:val="00AB7FC6"/>
    <w:rsid w:val="00AD115D"/>
    <w:rsid w:val="00AD16AE"/>
    <w:rsid w:val="00AD6C53"/>
    <w:rsid w:val="00AE53AA"/>
    <w:rsid w:val="00AE72F4"/>
    <w:rsid w:val="00AF0A4B"/>
    <w:rsid w:val="00AF65DE"/>
    <w:rsid w:val="00B04278"/>
    <w:rsid w:val="00B12672"/>
    <w:rsid w:val="00B2434D"/>
    <w:rsid w:val="00B24D29"/>
    <w:rsid w:val="00B30D88"/>
    <w:rsid w:val="00B34610"/>
    <w:rsid w:val="00B34716"/>
    <w:rsid w:val="00B61A13"/>
    <w:rsid w:val="00B648CA"/>
    <w:rsid w:val="00B73A69"/>
    <w:rsid w:val="00B74894"/>
    <w:rsid w:val="00B749FB"/>
    <w:rsid w:val="00B82B83"/>
    <w:rsid w:val="00B909F7"/>
    <w:rsid w:val="00B96A24"/>
    <w:rsid w:val="00BA677D"/>
    <w:rsid w:val="00BA6FDB"/>
    <w:rsid w:val="00BB02ED"/>
    <w:rsid w:val="00BC31F9"/>
    <w:rsid w:val="00BC5D46"/>
    <w:rsid w:val="00BC69E5"/>
    <w:rsid w:val="00BC6F83"/>
    <w:rsid w:val="00BD34B4"/>
    <w:rsid w:val="00BE7B88"/>
    <w:rsid w:val="00BF2C5D"/>
    <w:rsid w:val="00BF31E3"/>
    <w:rsid w:val="00BF5F1C"/>
    <w:rsid w:val="00C06607"/>
    <w:rsid w:val="00C07731"/>
    <w:rsid w:val="00C07AC0"/>
    <w:rsid w:val="00C218A9"/>
    <w:rsid w:val="00C47EE0"/>
    <w:rsid w:val="00C63006"/>
    <w:rsid w:val="00C67568"/>
    <w:rsid w:val="00C71871"/>
    <w:rsid w:val="00C85E87"/>
    <w:rsid w:val="00C8702A"/>
    <w:rsid w:val="00C913B6"/>
    <w:rsid w:val="00CA6EA3"/>
    <w:rsid w:val="00CB15A7"/>
    <w:rsid w:val="00CB6D97"/>
    <w:rsid w:val="00CE0C9D"/>
    <w:rsid w:val="00CE6572"/>
    <w:rsid w:val="00CE6E72"/>
    <w:rsid w:val="00D117C4"/>
    <w:rsid w:val="00D23CDC"/>
    <w:rsid w:val="00D26593"/>
    <w:rsid w:val="00D268EB"/>
    <w:rsid w:val="00D26CFF"/>
    <w:rsid w:val="00D274C6"/>
    <w:rsid w:val="00D33C2E"/>
    <w:rsid w:val="00D3454B"/>
    <w:rsid w:val="00D41077"/>
    <w:rsid w:val="00D456D8"/>
    <w:rsid w:val="00D45A0E"/>
    <w:rsid w:val="00D4758C"/>
    <w:rsid w:val="00D55FAB"/>
    <w:rsid w:val="00D56786"/>
    <w:rsid w:val="00D61EAB"/>
    <w:rsid w:val="00D701D3"/>
    <w:rsid w:val="00D7445F"/>
    <w:rsid w:val="00D92B1D"/>
    <w:rsid w:val="00DC0E31"/>
    <w:rsid w:val="00DC61A8"/>
    <w:rsid w:val="00DC70D0"/>
    <w:rsid w:val="00DC7DD6"/>
    <w:rsid w:val="00DD3971"/>
    <w:rsid w:val="00DD571D"/>
    <w:rsid w:val="00DE38DC"/>
    <w:rsid w:val="00E13146"/>
    <w:rsid w:val="00E174FC"/>
    <w:rsid w:val="00E20070"/>
    <w:rsid w:val="00E20994"/>
    <w:rsid w:val="00E22124"/>
    <w:rsid w:val="00E261AD"/>
    <w:rsid w:val="00E324C0"/>
    <w:rsid w:val="00E40344"/>
    <w:rsid w:val="00E500AB"/>
    <w:rsid w:val="00E576BD"/>
    <w:rsid w:val="00E57885"/>
    <w:rsid w:val="00E57BE9"/>
    <w:rsid w:val="00E604D6"/>
    <w:rsid w:val="00E67086"/>
    <w:rsid w:val="00E67F4E"/>
    <w:rsid w:val="00E83593"/>
    <w:rsid w:val="00E857E4"/>
    <w:rsid w:val="00E85B05"/>
    <w:rsid w:val="00E86F47"/>
    <w:rsid w:val="00E9139D"/>
    <w:rsid w:val="00E92487"/>
    <w:rsid w:val="00EA0940"/>
    <w:rsid w:val="00EA3B02"/>
    <w:rsid w:val="00EA5A59"/>
    <w:rsid w:val="00EB3301"/>
    <w:rsid w:val="00EC5ADC"/>
    <w:rsid w:val="00ED6E24"/>
    <w:rsid w:val="00EE23F0"/>
    <w:rsid w:val="00EE48A6"/>
    <w:rsid w:val="00EE4A18"/>
    <w:rsid w:val="00EF06BE"/>
    <w:rsid w:val="00EF61D1"/>
    <w:rsid w:val="00F1070A"/>
    <w:rsid w:val="00F154D0"/>
    <w:rsid w:val="00F261D6"/>
    <w:rsid w:val="00F35911"/>
    <w:rsid w:val="00F42D43"/>
    <w:rsid w:val="00F51A17"/>
    <w:rsid w:val="00F57965"/>
    <w:rsid w:val="00F72ABE"/>
    <w:rsid w:val="00F72B1B"/>
    <w:rsid w:val="00F77E12"/>
    <w:rsid w:val="00F814DE"/>
    <w:rsid w:val="00F90045"/>
    <w:rsid w:val="00F925FE"/>
    <w:rsid w:val="00FA28D1"/>
    <w:rsid w:val="00FA6558"/>
    <w:rsid w:val="00FB1359"/>
    <w:rsid w:val="00FC2653"/>
    <w:rsid w:val="00FC3FE6"/>
    <w:rsid w:val="00FD2095"/>
    <w:rsid w:val="00FD489B"/>
    <w:rsid w:val="00FD530D"/>
    <w:rsid w:val="00FD6C05"/>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E8ABCC"/>
  <w15:chartTrackingRefBased/>
  <w15:docId w15:val="{C4AB733C-D9CB-4246-8D80-E2E308356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95102">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31750107">
      <w:bodyDiv w:val="1"/>
      <w:marLeft w:val="0"/>
      <w:marRight w:val="0"/>
      <w:marTop w:val="0"/>
      <w:marBottom w:val="0"/>
      <w:divBdr>
        <w:top w:val="none" w:sz="0" w:space="0" w:color="auto"/>
        <w:left w:val="none" w:sz="0" w:space="0" w:color="auto"/>
        <w:bottom w:val="none" w:sz="0" w:space="0" w:color="auto"/>
        <w:right w:val="none" w:sz="0" w:space="0" w:color="auto"/>
      </w:divBdr>
    </w:div>
    <w:div w:id="275217070">
      <w:bodyDiv w:val="1"/>
      <w:marLeft w:val="0"/>
      <w:marRight w:val="0"/>
      <w:marTop w:val="0"/>
      <w:marBottom w:val="0"/>
      <w:divBdr>
        <w:top w:val="none" w:sz="0" w:space="0" w:color="auto"/>
        <w:left w:val="none" w:sz="0" w:space="0" w:color="auto"/>
        <w:bottom w:val="none" w:sz="0" w:space="0" w:color="auto"/>
        <w:right w:val="none" w:sz="0" w:space="0" w:color="auto"/>
      </w:divBdr>
    </w:div>
    <w:div w:id="309286872">
      <w:bodyDiv w:val="1"/>
      <w:marLeft w:val="0"/>
      <w:marRight w:val="0"/>
      <w:marTop w:val="0"/>
      <w:marBottom w:val="0"/>
      <w:divBdr>
        <w:top w:val="none" w:sz="0" w:space="0" w:color="auto"/>
        <w:left w:val="none" w:sz="0" w:space="0" w:color="auto"/>
        <w:bottom w:val="none" w:sz="0" w:space="0" w:color="auto"/>
        <w:right w:val="none" w:sz="0" w:space="0" w:color="auto"/>
      </w:divBdr>
    </w:div>
    <w:div w:id="412968285">
      <w:bodyDiv w:val="1"/>
      <w:marLeft w:val="0"/>
      <w:marRight w:val="0"/>
      <w:marTop w:val="0"/>
      <w:marBottom w:val="0"/>
      <w:divBdr>
        <w:top w:val="none" w:sz="0" w:space="0" w:color="auto"/>
        <w:left w:val="none" w:sz="0" w:space="0" w:color="auto"/>
        <w:bottom w:val="none" w:sz="0" w:space="0" w:color="auto"/>
        <w:right w:val="none" w:sz="0" w:space="0" w:color="auto"/>
      </w:divBdr>
    </w:div>
    <w:div w:id="456875834">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91738654">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346131447">
      <w:bodyDiv w:val="1"/>
      <w:marLeft w:val="0"/>
      <w:marRight w:val="0"/>
      <w:marTop w:val="0"/>
      <w:marBottom w:val="0"/>
      <w:divBdr>
        <w:top w:val="none" w:sz="0" w:space="0" w:color="auto"/>
        <w:left w:val="none" w:sz="0" w:space="0" w:color="auto"/>
        <w:bottom w:val="none" w:sz="0" w:space="0" w:color="auto"/>
        <w:right w:val="none" w:sz="0" w:space="0" w:color="auto"/>
      </w:divBdr>
    </w:div>
    <w:div w:id="1484739741">
      <w:bodyDiv w:val="1"/>
      <w:marLeft w:val="0"/>
      <w:marRight w:val="0"/>
      <w:marTop w:val="0"/>
      <w:marBottom w:val="0"/>
      <w:divBdr>
        <w:top w:val="none" w:sz="0" w:space="0" w:color="auto"/>
        <w:left w:val="none" w:sz="0" w:space="0" w:color="auto"/>
        <w:bottom w:val="none" w:sz="0" w:space="0" w:color="auto"/>
        <w:right w:val="none" w:sz="0" w:space="0" w:color="auto"/>
      </w:divBdr>
      <w:divsChild>
        <w:div w:id="694501481">
          <w:marLeft w:val="547"/>
          <w:marRight w:val="0"/>
          <w:marTop w:val="0"/>
          <w:marBottom w:val="120"/>
          <w:divBdr>
            <w:top w:val="none" w:sz="0" w:space="0" w:color="auto"/>
            <w:left w:val="none" w:sz="0" w:space="0" w:color="auto"/>
            <w:bottom w:val="none" w:sz="0" w:space="0" w:color="auto"/>
            <w:right w:val="none" w:sz="0" w:space="0" w:color="auto"/>
          </w:divBdr>
        </w:div>
        <w:div w:id="1166434096">
          <w:marLeft w:val="547"/>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85141144">
      <w:bodyDiv w:val="1"/>
      <w:marLeft w:val="0"/>
      <w:marRight w:val="0"/>
      <w:marTop w:val="0"/>
      <w:marBottom w:val="0"/>
      <w:divBdr>
        <w:top w:val="none" w:sz="0" w:space="0" w:color="auto"/>
        <w:left w:val="none" w:sz="0" w:space="0" w:color="auto"/>
        <w:bottom w:val="none" w:sz="0" w:space="0" w:color="auto"/>
        <w:right w:val="none" w:sz="0" w:space="0" w:color="auto"/>
      </w:divBdr>
    </w:div>
    <w:div w:id="165506165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921136653">
      <w:bodyDiv w:val="1"/>
      <w:marLeft w:val="0"/>
      <w:marRight w:val="0"/>
      <w:marTop w:val="0"/>
      <w:marBottom w:val="0"/>
      <w:divBdr>
        <w:top w:val="none" w:sz="0" w:space="0" w:color="auto"/>
        <w:left w:val="none" w:sz="0" w:space="0" w:color="auto"/>
        <w:bottom w:val="none" w:sz="0" w:space="0" w:color="auto"/>
        <w:right w:val="none" w:sz="0" w:space="0" w:color="auto"/>
      </w:divBdr>
    </w:div>
    <w:div w:id="205187824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cid:image005.png@01D3944D.5F473090"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16669D-49AF-405E-96F6-EE30612DE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821</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(AT&amp;T)</cp:lastModifiedBy>
  <cp:revision>2</cp:revision>
  <cp:lastPrinted>2016-02-23T18:51:00Z</cp:lastPrinted>
  <dcterms:created xsi:type="dcterms:W3CDTF">2019-05-03T02:49:00Z</dcterms:created>
  <dcterms:modified xsi:type="dcterms:W3CDTF">2019-05-03T02:49:00Z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